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方正大标宋简体" w:eastAsia="方正大标宋简体" w:cs="方正大标宋简体"/>
          <w:sz w:val="32"/>
          <w:szCs w:val="32"/>
          <w:u w:val="single"/>
        </w:rPr>
      </w:pPr>
      <w:r>
        <w:rPr>
          <w:rFonts w:hint="eastAsia" w:hAnsi="方正大标宋简体" w:eastAsia="方正大标宋简体" w:cs="方正大标宋简体"/>
          <w:sz w:val="32"/>
          <w:szCs w:val="32"/>
        </w:rPr>
        <w:t>南京市校园足球特色学校考核办法（2019版）      学校：</w:t>
      </w:r>
      <w:r>
        <w:rPr>
          <w:rFonts w:hint="eastAsia" w:hAnsi="方正大标宋简体" w:eastAsia="方正大标宋简体" w:cs="方正大标宋简体"/>
          <w:sz w:val="32"/>
          <w:szCs w:val="32"/>
          <w:u w:val="single"/>
        </w:rPr>
        <w:t xml:space="preserve"> </w:t>
      </w:r>
      <w:r>
        <w:rPr>
          <w:rFonts w:hint="eastAsia" w:hAnsi="方正大标宋简体" w:eastAsia="方正大标宋简体" w:cs="方正大标宋简体"/>
          <w:sz w:val="32"/>
          <w:szCs w:val="32"/>
          <w:u w:val="single"/>
          <w:lang w:val="en-US" w:eastAsia="zh-CN"/>
        </w:rPr>
        <w:t>南京师范大学附属中学树人学校</w:t>
      </w:r>
      <w:r>
        <w:rPr>
          <w:rFonts w:hint="eastAsia" w:hAnsi="方正大标宋简体" w:eastAsia="方正大标宋简体" w:cs="方正大标宋简体"/>
          <w:sz w:val="32"/>
          <w:szCs w:val="32"/>
          <w:u w:val="single"/>
        </w:rPr>
        <w:t xml:space="preserve">             </w:t>
      </w:r>
    </w:p>
    <w:tbl>
      <w:tblPr>
        <w:tblStyle w:val="3"/>
        <w:tblW w:w="1399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000"/>
        <w:gridCol w:w="8699"/>
        <w:gridCol w:w="638"/>
        <w:gridCol w:w="795"/>
        <w:gridCol w:w="7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Header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  <w:lang w:bidi="ar"/>
              </w:rPr>
              <w:t>评审指标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  <w:lang w:bidi="ar"/>
              </w:rPr>
              <w:t>主要观测点</w:t>
            </w:r>
          </w:p>
        </w:tc>
        <w:tc>
          <w:tcPr>
            <w:tcW w:w="8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  <w:lang w:bidi="ar"/>
              </w:rPr>
              <w:t>评审内容与分值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  <w:lang w:bidi="ar"/>
              </w:rPr>
              <w:t>分值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  <w:lang w:bidi="ar"/>
              </w:rPr>
              <w:t>自评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kern w:val="0"/>
                <w:szCs w:val="21"/>
                <w:lang w:bidi="ar"/>
              </w:rPr>
            </w:pPr>
            <w:r>
              <w:rPr>
                <w:rFonts w:hint="eastAsia" w:eastAsia="黑体" w:cs="黑体"/>
                <w:kern w:val="0"/>
                <w:szCs w:val="21"/>
                <w:lang w:bidi="ar"/>
              </w:rPr>
              <w:t>复核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组织领导（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10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落实国家政策，将校园足球纳入学校发展规划（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4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699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学校体育指导思想明确，重视学校体育和学生体质健康工作，把校园足球作为增强学生体质健康的重要举措（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1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分），将校园足球纳入学校发展规划和年度工作计划（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1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分），有校园足球发展目标及规划并符合学校实际（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分）。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eastAsia="仿宋_GB2312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bidi="ar"/>
              </w:rPr>
              <w:t>　</w:t>
            </w: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hAnsi="宋体" w:eastAsia="仿宋_GB2312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健全工作机制（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2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成立校园足球工作领导小组（校足办），由校长专人负责，学校其他机构共同参与（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分），领导小组成员分工明确（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分）。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eastAsia="仿宋_GB2312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bidi="ar"/>
              </w:rPr>
              <w:t>　</w:t>
            </w: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hAnsi="宋体" w:eastAsia="仿宋_GB2312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完善规章制度（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4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制定有校园足球工作教学管理规章制度（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分），课余训练和竞赛规章制度（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分），运动安全防范措施与保障（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分），师资培训规章制度（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分）。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eastAsia="仿宋_GB2312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bidi="ar"/>
              </w:rPr>
              <w:t>　</w:t>
            </w: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hAnsi="宋体" w:eastAsia="仿宋_GB2312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条件保障（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30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专项师资培养（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15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持有初级教练员证（含）以上的足球专项教师大于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3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人（含）（分别给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3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分），每年有一人次以上参加区级（含）以上培训机会（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,1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人次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分），持有三级以上裁判员证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人（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分），有专职校园足球通讯员（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分），专项教师中有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5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4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3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星教师（分别得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5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4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3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6"/>
                <w:rFonts w:hint="eastAsia" w:ascii="Times New Roman" w:eastAsia="仿宋_GB2312"/>
                <w:lang w:bidi="ar"/>
              </w:rPr>
              <w:t>分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），校长参加管理干部研训（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分）。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eastAsia="仿宋_GB2312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bidi="ar"/>
              </w:rPr>
              <w:t>　</w:t>
            </w: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hAnsi="宋体" w:eastAsia="仿宋_GB2312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专项教师待遇（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5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专项教师开展足球教学和足球活动计入工作量（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分），明确专项足球教师节假日和课余训练的补助标准（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分），通讯员补助标准（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分）。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eastAsia="仿宋_GB2312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bidi="ar"/>
              </w:rPr>
              <w:t>　</w:t>
            </w: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hAnsi="宋体" w:eastAsia="仿宋_GB2312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场地器材（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5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建设有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7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5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人制的足球场地（分别给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3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分），能满足教学和课余足球训练需要，足球器材数量齐备、并有明确的补充机制（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分）。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eastAsia="仿宋_GB2312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bidi="ar"/>
              </w:rPr>
              <w:t>　</w:t>
            </w: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hAnsi="宋体" w:eastAsia="仿宋_GB2312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经费投入及使用（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5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专项经费合规使用（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分），区、校设立配套足球专项经费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5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万、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3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万、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万（分别给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3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,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用于校园足球教育教学。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eastAsia="仿宋_GB2312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bidi="ar"/>
              </w:rPr>
              <w:t>　</w:t>
            </w: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hAnsi="宋体" w:eastAsia="仿宋_GB2312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教育教学（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35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教学理念（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4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深化学校体育改革，坚持健康第一，把足球作为立德树人的载体，《国家学生体质健康标准》测试率优良率达到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40%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1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分）。积极开展学生等级运动员评测（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1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分）和星级学生裁判员（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1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分）评测，专项教师全部参加学分制试点（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1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分），并达到考核标准。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eastAsia="仿宋_GB2312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bidi="ar"/>
              </w:rPr>
              <w:t>　</w:t>
            </w: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hAnsi="宋体" w:eastAsia="仿宋_GB2312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体育课时（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5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开足开齐体育课（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1-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年级每周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4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学时，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3-6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年级每周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3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学时，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7-9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年级每周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3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学时，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10-12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年级每周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学时）（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分），义务教育阶段把足球作为体育课必修内容，每周每班不少于一节足球教学课（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分），高中阶段学校开设足球选修课（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分），每天安排有体育大课间活动（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分）。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eastAsia="仿宋_GB2312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bidi="ar"/>
              </w:rPr>
              <w:t>　</w:t>
            </w: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hAnsi="宋体" w:eastAsia="仿宋_GB2312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课程资源开发（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6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开发和编制符合《指南》要求的足球校本教材（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2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分），足球课有详细的足球教学教案（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分）。专项教师参加市级教育教学评选（微型课、教学设计、教育叙事）获一、二、三等奖（分别给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3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分）。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eastAsia="仿宋_GB2312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bidi="ar"/>
              </w:rPr>
              <w:t>　</w:t>
            </w: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hAnsi="宋体" w:eastAsia="仿宋_GB2312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校园足球文化（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10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每年有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3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次足球主题校园文化活动（如摄影、绘画、征文、演讲等）（分别给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3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分），每学年举办一次校园足球嘉年华（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分）；校园网建立有校园足球专栏平台（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分），动态报道足球活动、交流工作经验、展示特色成果并积极报送市校园足球网，每学期不少于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4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篇（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4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分）。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eastAsia="仿宋_GB2312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bidi="ar"/>
              </w:rPr>
              <w:t>　</w:t>
            </w: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hAnsi="宋体" w:eastAsia="仿宋_GB2312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课程质量（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5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小学学业监测优秀、良好、合格（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5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3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分）；高三选项教学实施质量监测优秀、良好、合格（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5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3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分）；初中专项教师参加区教育教学评选获一、二、三等奖（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5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3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分）。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eastAsia="仿宋_GB2312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bidi="ar"/>
              </w:rPr>
              <w:t>　</w:t>
            </w: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hAnsi="宋体" w:eastAsia="仿宋_GB2312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文化学习（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5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对学校足球代表队运动员参加训练、比赛，制定有具体的文化学习计划和要求，其文化学习成绩达到同年级平均水平（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2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分），校队队员获三好生（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3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分，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人次计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分）。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eastAsia="仿宋_GB2312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bidi="ar"/>
              </w:rPr>
              <w:t>　</w:t>
            </w: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hAnsi="宋体" w:eastAsia="仿宋_GB2312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训练与竞赛（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25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梯队建设（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9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学校成立足球社团或兴趣小组（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1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分），学校建有校级男、女足球代表队，并参加市级（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2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分）、区级（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分）校园足球比赛，星级学生裁判员不少于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20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人（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分），校队队员全部完成注册（本校民办非企俱乐部或区精英训练营）（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分）。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eastAsia="仿宋_GB2312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bidi="ar"/>
              </w:rPr>
              <w:t>　</w:t>
            </w: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hAnsi="宋体" w:eastAsia="仿宋_GB2312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cs="宋体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开展训练（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8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学校足球代表队和足球社团制定有系统、科学的训练计划（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1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分），每周开展课余足球训练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3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、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2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次（分别给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3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分），并配备有安全、医疗等应急方案（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分），每学期邀请校外专业教练员提供技术指导不少于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4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3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次（分别给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3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分）或聘有中国足协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D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级以上教练员得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3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分。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eastAsia="仿宋_GB2312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bidi="ar"/>
              </w:rPr>
              <w:t>　</w:t>
            </w: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hAnsi="宋体" w:eastAsia="仿宋_GB2312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cs="宋体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组织竞赛（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8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每年组织校内足球班级联赛（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1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分），班班参与（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分）；承办市、区足球比赛（分别给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分）；学校组织夏令营（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分）。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eastAsia="仿宋_GB2312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bidi="ar"/>
              </w:rPr>
              <w:t>　</w:t>
            </w: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hAnsi="宋体" w:eastAsia="仿宋_GB2312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附加分：成绩与输送（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10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输送运动员（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5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入选区级精英训练营，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1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人次计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0.5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分；入选市级精英训练营（小学考入后备人才示范、初中以特长生考入高中、高中以特长生考入大学高水平运动队），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人次计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分；入选全国校园足球夏令营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人次计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分，入选全国最佳阵容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人次计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3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分。同一人计得分最高项。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eastAsia="仿宋_GB2312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bidi="ar"/>
              </w:rPr>
              <w:t>　</w:t>
            </w: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hAnsi="宋体" w:eastAsia="仿宋_GB2312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cs="宋体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比赛获奖（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5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8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获得省长杯前三、前六名（</w:t>
            </w: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2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分）；获得市长杯一、二、三等奖（</w:t>
            </w:r>
            <w:r>
              <w:rPr>
                <w:rStyle w:val="7"/>
                <w:rFonts w:hint="default" w:ascii="Times New Roman" w:hAnsi="Times New Roman" w:eastAsia="仿宋_GB2312"/>
                <w:lang w:bidi="ar"/>
              </w:rPr>
              <w:t>3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2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、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1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分）、道德风尚奖</w:t>
            </w:r>
            <w:r>
              <w:rPr>
                <w:rStyle w:val="6"/>
                <w:rFonts w:ascii="Times New Roman" w:hAnsi="Times New Roman" w:eastAsia="仿宋_GB2312"/>
                <w:lang w:bidi="ar"/>
              </w:rPr>
              <w:t>3</w:t>
            </w:r>
            <w:r>
              <w:rPr>
                <w:rStyle w:val="7"/>
                <w:rFonts w:hint="default" w:ascii="Times New Roman" w:eastAsia="仿宋_GB2312"/>
                <w:lang w:bidi="ar"/>
              </w:rPr>
              <w:t>分。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color w:val="FF0000"/>
                <w:szCs w:val="21"/>
              </w:rPr>
            </w:pP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bidi="ar"/>
              </w:rPr>
              <w:t>　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hAnsi="宋体" w:eastAsia="仿宋_GB2312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总得分</w:t>
            </w:r>
          </w:p>
        </w:tc>
        <w:tc>
          <w:tcPr>
            <w:tcW w:w="129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eastAsia="仿宋_GB2312" w:cs="宋体"/>
                <w:szCs w:val="21"/>
                <w:lang w:val="en-US" w:eastAsia="zh-CN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　</w:t>
            </w:r>
            <w:r>
              <w:rPr>
                <w:rFonts w:hint="eastAsia" w:hAnsi="宋体" w:eastAsia="仿宋_GB2312" w:cs="宋体"/>
                <w:color w:val="FF0000"/>
                <w:kern w:val="0"/>
                <w:szCs w:val="21"/>
                <w:lang w:val="en-US" w:eastAsia="zh-CN" w:bidi="ar"/>
              </w:rPr>
              <w:t>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一票否决</w:t>
            </w:r>
          </w:p>
        </w:tc>
        <w:tc>
          <w:tcPr>
            <w:tcW w:w="129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1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．未能确保每周一节足球课。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/>
                <w:szCs w:val="21"/>
              </w:rPr>
            </w:pPr>
          </w:p>
        </w:tc>
        <w:tc>
          <w:tcPr>
            <w:tcW w:w="129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2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．《国家学生体质健康标准》优良率连续两年下降。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cs="宋体"/>
                <w:szCs w:val="21"/>
              </w:rPr>
            </w:pPr>
          </w:p>
        </w:tc>
        <w:tc>
          <w:tcPr>
            <w:tcW w:w="129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eastAsia="仿宋_GB2312" w:cs="宋体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  <w:lang w:bidi="ar"/>
              </w:rPr>
              <w:t>3</w:t>
            </w:r>
            <w:r>
              <w:rPr>
                <w:rFonts w:hint="eastAsia" w:hAnsi="宋体" w:eastAsia="仿宋_GB2312" w:cs="宋体"/>
                <w:kern w:val="0"/>
                <w:szCs w:val="21"/>
                <w:lang w:bidi="ar"/>
              </w:rPr>
              <w:t>．未开展校内班级联赛活动。</w:t>
            </w:r>
          </w:p>
        </w:tc>
      </w:tr>
    </w:tbl>
    <w:p>
      <w:pPr>
        <w:rPr>
          <w:rFonts w:eastAsia="仿宋_GB2312"/>
          <w:sz w:val="32"/>
          <w:szCs w:val="32"/>
        </w:rPr>
      </w:pPr>
    </w:p>
    <w:p/>
    <w:sectPr>
      <w:pgSz w:w="16838" w:h="11906" w:orient="landscape"/>
      <w:pgMar w:top="0" w:right="1440" w:bottom="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NGYwZDUxZjU4YzE3YmE4NzdkNWI4NThlNmY0NzMifQ=="/>
  </w:docVars>
  <w:rsids>
    <w:rsidRoot w:val="00000000"/>
    <w:rsid w:val="4B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character" w:customStyle="1" w:styleId="6">
    <w:name w:val="font61"/>
    <w:qFormat/>
    <w:uiPriority w:val="0"/>
    <w:rPr>
      <w:rFonts w:ascii="Calibri" w:hAnsi="Calibri" w:cs="Calibri"/>
      <w:color w:val="auto"/>
      <w:sz w:val="21"/>
      <w:szCs w:val="21"/>
      <w:u w:val="none"/>
    </w:rPr>
  </w:style>
  <w:style w:type="character" w:customStyle="1" w:styleId="7">
    <w:name w:val="font71"/>
    <w:uiPriority w:val="0"/>
    <w:rPr>
      <w:rFonts w:hint="eastAsia" w:ascii="宋体" w:hAnsi="宋体" w:eastAsia="宋体" w:cs="宋体"/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2022-12-11T01:29:49Z</dcterms:created>
  <dc:creator>崔</dc:creator>
  <cp:lastModifiedBy>流金岁月</cp:lastModifiedBy>
  <dcterms:modified xsi:type="dcterms:W3CDTF">2022-12-11T01:55:24Z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075A231E1825481A8624FAA260796FA2</vt:lpwstr>
  </property>
</Properties>
</file>